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45" w:rsidRPr="00BB4D24" w:rsidRDefault="006B3545" w:rsidP="006B3545">
      <w:pPr>
        <w:spacing w:after="0"/>
        <w:ind w:left="-1276" w:right="-143"/>
        <w:jc w:val="center"/>
        <w:rPr>
          <w:rFonts w:ascii="Times New Roman" w:hAnsi="Times New Roman"/>
          <w:b/>
          <w:sz w:val="28"/>
          <w:szCs w:val="28"/>
        </w:rPr>
      </w:pPr>
      <w:r w:rsidRPr="00BB4D24">
        <w:rPr>
          <w:rFonts w:ascii="Times New Roman" w:hAnsi="Times New Roman"/>
          <w:b/>
          <w:sz w:val="28"/>
          <w:szCs w:val="28"/>
        </w:rPr>
        <w:t>Муниципального бюджетного общеобразовательного учреждения</w:t>
      </w:r>
    </w:p>
    <w:p w:rsidR="006B3545" w:rsidRDefault="006B3545" w:rsidP="006B3545">
      <w:pPr>
        <w:spacing w:after="0"/>
        <w:ind w:left="-1276" w:right="-143"/>
        <w:jc w:val="center"/>
        <w:rPr>
          <w:rFonts w:ascii="Times New Roman" w:hAnsi="Times New Roman"/>
          <w:b/>
          <w:sz w:val="28"/>
          <w:szCs w:val="28"/>
        </w:rPr>
      </w:pPr>
      <w:r w:rsidRPr="00BB4D24">
        <w:rPr>
          <w:rFonts w:ascii="Times New Roman" w:hAnsi="Times New Roman"/>
          <w:b/>
          <w:sz w:val="28"/>
          <w:szCs w:val="28"/>
        </w:rPr>
        <w:t>«Средняя общеобразовательная школа № 73» города Кирова</w:t>
      </w:r>
    </w:p>
    <w:p w:rsidR="006B3545" w:rsidRDefault="006B3545" w:rsidP="006B3545">
      <w:pPr>
        <w:spacing w:after="0"/>
        <w:ind w:left="-1276" w:right="-143"/>
        <w:rPr>
          <w:rFonts w:ascii="Times New Roman" w:hAnsi="Times New Roman"/>
          <w:b/>
          <w:sz w:val="28"/>
          <w:szCs w:val="28"/>
        </w:rPr>
      </w:pPr>
    </w:p>
    <w:p w:rsidR="006B3545" w:rsidRDefault="006B3545" w:rsidP="006B3545">
      <w:pPr>
        <w:spacing w:after="0"/>
        <w:ind w:left="3969" w:right="-143"/>
        <w:rPr>
          <w:rFonts w:ascii="Times New Roman" w:hAnsi="Times New Roman"/>
          <w:b/>
          <w:sz w:val="28"/>
          <w:szCs w:val="28"/>
        </w:rPr>
      </w:pPr>
    </w:p>
    <w:p w:rsidR="006B3545" w:rsidRPr="00F63254" w:rsidRDefault="006B3545" w:rsidP="006B3545">
      <w:pPr>
        <w:spacing w:after="0" w:line="100" w:lineRule="atLeast"/>
        <w:jc w:val="right"/>
        <w:rPr>
          <w:rFonts w:ascii="Times New Roman" w:hAnsi="Times New Roman" w:cs="Times New Roman"/>
          <w:b/>
          <w:sz w:val="28"/>
          <w:szCs w:val="28"/>
        </w:rPr>
      </w:pPr>
    </w:p>
    <w:p w:rsidR="006B3545" w:rsidRPr="00F936E4" w:rsidRDefault="006B3545" w:rsidP="006B3545">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«Утверждаю»</w:t>
      </w:r>
    </w:p>
    <w:p w:rsidR="006B3545" w:rsidRPr="00F936E4" w:rsidRDefault="006B3545" w:rsidP="006B3545">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Директор МБОУ СОШ №73 города Кирова</w:t>
      </w:r>
    </w:p>
    <w:p w:rsidR="006B3545" w:rsidRPr="00F936E4" w:rsidRDefault="006B3545" w:rsidP="006B3545">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_________________Р.В.Быстрова</w:t>
      </w:r>
    </w:p>
    <w:p w:rsidR="006B3545" w:rsidRPr="00F936E4" w:rsidRDefault="006B3545" w:rsidP="006B3545">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Приказ 01-31/156</w:t>
      </w:r>
    </w:p>
    <w:p w:rsidR="006B3545" w:rsidRPr="00F936E4" w:rsidRDefault="006B3545" w:rsidP="006B3545">
      <w:pPr>
        <w:tabs>
          <w:tab w:val="left" w:pos="5529"/>
        </w:tabs>
        <w:spacing w:after="0" w:line="100" w:lineRule="atLeast"/>
        <w:ind w:left="5529"/>
        <w:rPr>
          <w:rFonts w:ascii="Times New Roman" w:hAnsi="Times New Roman" w:cs="Times New Roman"/>
          <w:sz w:val="28"/>
          <w:szCs w:val="28"/>
        </w:rPr>
      </w:pPr>
      <w:r>
        <w:rPr>
          <w:rFonts w:ascii="Times New Roman" w:hAnsi="Times New Roman" w:cs="Times New Roman"/>
          <w:sz w:val="28"/>
          <w:szCs w:val="28"/>
        </w:rPr>
        <w:t>«30</w:t>
      </w:r>
      <w:r w:rsidRPr="00F936E4">
        <w:rPr>
          <w:rFonts w:ascii="Times New Roman" w:hAnsi="Times New Roman" w:cs="Times New Roman"/>
          <w:sz w:val="28"/>
          <w:szCs w:val="28"/>
        </w:rPr>
        <w:t>»</w:t>
      </w:r>
      <w:r>
        <w:rPr>
          <w:rFonts w:ascii="Times New Roman" w:hAnsi="Times New Roman" w:cs="Times New Roman"/>
          <w:sz w:val="28"/>
          <w:szCs w:val="28"/>
        </w:rPr>
        <w:t>августа 2024</w:t>
      </w:r>
      <w:r w:rsidRPr="00F936E4">
        <w:rPr>
          <w:rFonts w:ascii="Times New Roman" w:hAnsi="Times New Roman" w:cs="Times New Roman"/>
          <w:sz w:val="28"/>
          <w:szCs w:val="28"/>
        </w:rPr>
        <w:t xml:space="preserve"> года</w:t>
      </w:r>
    </w:p>
    <w:p w:rsidR="0036168F" w:rsidRPr="00F63254" w:rsidRDefault="0036168F" w:rsidP="0036168F">
      <w:pPr>
        <w:spacing w:after="0" w:line="100" w:lineRule="atLeast"/>
        <w:jc w:val="righ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6B3545">
      <w:pPr>
        <w:spacing w:after="0" w:line="100" w:lineRule="atLeast"/>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6B3545"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sidR="00B06680">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jc w:val="center"/>
        <w:rPr>
          <w:rFonts w:ascii="Times New Roman" w:hAnsi="Times New Roman"/>
          <w:color w:val="auto"/>
          <w:sz w:val="28"/>
          <w:szCs w:val="28"/>
        </w:rPr>
      </w:pPr>
    </w:p>
    <w:p w:rsidR="006B3545" w:rsidRDefault="006B3545" w:rsidP="0036168F">
      <w:pPr>
        <w:jc w:val="center"/>
        <w:rPr>
          <w:rFonts w:ascii="Times New Roman" w:hAnsi="Times New Roman"/>
          <w:color w:val="auto"/>
          <w:sz w:val="28"/>
          <w:szCs w:val="28"/>
        </w:rPr>
      </w:pPr>
    </w:p>
    <w:p w:rsidR="006B3545" w:rsidRPr="000A0A0A" w:rsidRDefault="006B3545"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6B3545" w:rsidRPr="00F63254" w:rsidRDefault="006B3545" w:rsidP="006B3545">
      <w:pPr>
        <w:ind w:left="-567"/>
        <w:jc w:val="center"/>
        <w:rPr>
          <w:rFonts w:ascii="Times New Roman" w:hAnsi="Times New Roman"/>
          <w:sz w:val="28"/>
          <w:szCs w:val="28"/>
        </w:rPr>
      </w:pPr>
      <w:r w:rsidRPr="00BB4D24">
        <w:rPr>
          <w:rFonts w:ascii="Times New Roman" w:hAnsi="Times New Roman"/>
          <w:sz w:val="28"/>
          <w:szCs w:val="28"/>
        </w:rPr>
        <w:t>Киров, 202</w:t>
      </w:r>
      <w:r w:rsidR="00D02CE3">
        <w:rPr>
          <w:rFonts w:ascii="Times New Roman" w:hAnsi="Times New Roman"/>
          <w:sz w:val="28"/>
          <w:szCs w:val="28"/>
        </w:rPr>
        <w:t>4</w:t>
      </w:r>
      <w:bookmarkStart w:id="0" w:name="_GoBack"/>
      <w:bookmarkEnd w:id="0"/>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DE650A"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DE650A"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DE650A"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DE650A"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DE650A"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DE650A"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DE650A"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DE650A"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DE650A"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DE650A"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DE650A"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DE650A"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DE650A"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DE650A"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DE650A"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DE650A"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DE650A"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DE650A"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DE650A"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DE650A"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DE650A"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DE650A"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DE650A"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DE650A"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DE650A"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DE650A"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xml:space="preserve">, о насущно </w:t>
            </w:r>
            <w:r w:rsidRPr="005C49A7">
              <w:rPr>
                <w:rFonts w:ascii="Times New Roman" w:hAnsi="Times New Roman" w:cs="Times New Roman"/>
                <w:sz w:val="28"/>
                <w:szCs w:val="28"/>
              </w:rPr>
              <w:lastRenderedPageBreak/>
              <w:t>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lastRenderedPageBreak/>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w:t>
            </w:r>
            <w:r>
              <w:rPr>
                <w:rFonts w:ascii="Times New Roman" w:hAnsi="Times New Roman" w:cs="Times New Roman"/>
                <w:sz w:val="28"/>
                <w:szCs w:val="28"/>
              </w:rPr>
              <w:lastRenderedPageBreak/>
              <w:t xml:space="preserve">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w:t>
            </w:r>
            <w:r w:rsidRPr="005C49A7">
              <w:rPr>
                <w:rFonts w:ascii="Times New Roman" w:hAnsi="Times New Roman" w:cs="Times New Roman"/>
                <w:sz w:val="28"/>
                <w:szCs w:val="28"/>
              </w:rPr>
              <w:lastRenderedPageBreak/>
              <w:t xml:space="preserve">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w:t>
            </w:r>
            <w:r w:rsidRPr="005C49A7">
              <w:rPr>
                <w:rFonts w:ascii="Times New Roman" w:hAnsi="Times New Roman" w:cs="Times New Roman"/>
                <w:sz w:val="28"/>
                <w:szCs w:val="28"/>
              </w:rPr>
              <w:lastRenderedPageBreak/>
              <w:t xml:space="preserve">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lastRenderedPageBreak/>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w:t>
      </w:r>
      <w:r w:rsidRPr="00ED5E48">
        <w:rPr>
          <w:rFonts w:ascii="Times New Roman" w:hAnsi="Times New Roman" w:cs="Times New Roman"/>
          <w:sz w:val="28"/>
          <w:szCs w:val="28"/>
        </w:rPr>
        <w:lastRenderedPageBreak/>
        <w:t>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внимания к близким взрослым и соученикам, оказание </w:t>
      </w:r>
      <w:r w:rsidRPr="005C49A7">
        <w:rPr>
          <w:rFonts w:ascii="Times New Roman" w:hAnsi="Times New Roman" w:cs="Times New Roman"/>
          <w:sz w:val="28"/>
          <w:szCs w:val="28"/>
        </w:rPr>
        <w:lastRenderedPageBreak/>
        <w:t>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lastRenderedPageBreak/>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 xml:space="preserve">общеобразовательной программы начального общего образования, которая адаптируется под особые </w:t>
      </w:r>
      <w:r w:rsidRPr="008E3C9D">
        <w:rPr>
          <w:rFonts w:ascii="Times New Roman" w:hAnsi="Times New Roman"/>
          <w:spacing w:val="-2"/>
          <w:sz w:val="28"/>
          <w:szCs w:val="28"/>
        </w:rPr>
        <w:lastRenderedPageBreak/>
        <w:t>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lastRenderedPageBreak/>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w:t>
      </w:r>
      <w:r w:rsidRPr="008E3C9D">
        <w:rPr>
          <w:rFonts w:ascii="Times New Roman" w:hAnsi="Times New Roman"/>
          <w:spacing w:val="-1"/>
          <w:sz w:val="28"/>
          <w:szCs w:val="28"/>
        </w:rPr>
        <w:lastRenderedPageBreak/>
        <w:t xml:space="preserve">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lastRenderedPageBreak/>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lastRenderedPageBreak/>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Pr="005C49A7">
        <w:rPr>
          <w:rFonts w:ascii="Times New Roman" w:hAnsi="Times New Roman" w:cs="Times New Roman"/>
          <w:color w:val="auto"/>
          <w:kern w:val="28"/>
          <w:sz w:val="28"/>
          <w:szCs w:val="28"/>
        </w:rPr>
        <w:lastRenderedPageBreak/>
        <w:t xml:space="preserve">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w:t>
      </w:r>
      <w:r w:rsidRPr="005C49A7">
        <w:rPr>
          <w:rFonts w:ascii="Times New Roman" w:hAnsi="Times New Roman" w:cs="Times New Roman"/>
          <w:bCs/>
          <w:color w:val="auto"/>
          <w:sz w:val="28"/>
          <w:szCs w:val="28"/>
        </w:rPr>
        <w:lastRenderedPageBreak/>
        <w:t>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 xml:space="preserve">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w:t>
      </w:r>
      <w:r w:rsidRPr="005C49A7">
        <w:rPr>
          <w:rFonts w:ascii="Times New Roman" w:hAnsi="Times New Roman" w:cs="Times New Roman"/>
          <w:bCs/>
          <w:color w:val="auto"/>
          <w:sz w:val="28"/>
          <w:szCs w:val="28"/>
        </w:rPr>
        <w:lastRenderedPageBreak/>
        <w:t>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lastRenderedPageBreak/>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w:t>
      </w:r>
      <w:r w:rsidRPr="005C49A7">
        <w:rPr>
          <w:rFonts w:ascii="Times New Roman" w:hAnsi="Times New Roman" w:cs="Times New Roman"/>
          <w:sz w:val="28"/>
          <w:szCs w:val="28"/>
        </w:rPr>
        <w:lastRenderedPageBreak/>
        <w:t>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w:t>
      </w:r>
      <w:r w:rsidRPr="005C49A7">
        <w:rPr>
          <w:rFonts w:ascii="Times New Roman" w:hAnsi="Times New Roman" w:cs="Times New Roman"/>
          <w:sz w:val="28"/>
          <w:szCs w:val="28"/>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w:t>
      </w:r>
      <w:r w:rsidRPr="005C49A7">
        <w:rPr>
          <w:rFonts w:ascii="Times New Roman" w:hAnsi="Times New Roman" w:cs="Times New Roman"/>
          <w:spacing w:val="2"/>
          <w:sz w:val="28"/>
          <w:szCs w:val="28"/>
        </w:rPr>
        <w:lastRenderedPageBreak/>
        <w:t xml:space="preserve">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lastRenderedPageBreak/>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lastRenderedPageBreak/>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w:t>
      </w:r>
      <w:r w:rsidRPr="005C49A7">
        <w:rPr>
          <w:rFonts w:ascii="Times New Roman" w:hAnsi="Times New Roman" w:cs="Times New Roman"/>
          <w:sz w:val="28"/>
          <w:szCs w:val="28"/>
        </w:rPr>
        <w:lastRenderedPageBreak/>
        <w:t xml:space="preserve">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lastRenderedPageBreak/>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w:t>
      </w:r>
      <w:r w:rsidRPr="005C49A7">
        <w:rPr>
          <w:rFonts w:ascii="Times New Roman" w:hAnsi="Times New Roman" w:cs="Times New Roman"/>
          <w:spacing w:val="2"/>
          <w:sz w:val="28"/>
          <w:szCs w:val="28"/>
        </w:rPr>
        <w:lastRenderedPageBreak/>
        <w:t xml:space="preserve">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w:t>
      </w:r>
      <w:r w:rsidRPr="005C49A7">
        <w:rPr>
          <w:rFonts w:ascii="Times New Roman" w:hAnsi="Times New Roman" w:cs="Times New Roman"/>
          <w:spacing w:val="2"/>
          <w:sz w:val="28"/>
          <w:szCs w:val="28"/>
        </w:rPr>
        <w:lastRenderedPageBreak/>
        <w:t xml:space="preserve">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w:t>
      </w:r>
      <w:r w:rsidRPr="005C49A7">
        <w:rPr>
          <w:rFonts w:ascii="Times New Roman" w:hAnsi="Times New Roman" w:cs="Times New Roman"/>
          <w:sz w:val="28"/>
          <w:szCs w:val="28"/>
        </w:rPr>
        <w:lastRenderedPageBreak/>
        <w:t>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5C49A7">
        <w:rPr>
          <w:rFonts w:ascii="Times New Roman" w:hAnsi="Times New Roman" w:cs="Times New Roman"/>
          <w:spacing w:val="-3"/>
          <w:sz w:val="28"/>
          <w:szCs w:val="28"/>
        </w:rPr>
        <w:lastRenderedPageBreak/>
        <w:t xml:space="preserve">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 xml:space="preserve">и диагональ в построении </w:t>
      </w:r>
      <w:r w:rsidRPr="005C49A7">
        <w:rPr>
          <w:rFonts w:ascii="Times New Roman" w:hAnsi="Times New Roman" w:cs="Times New Roman"/>
          <w:sz w:val="28"/>
          <w:szCs w:val="28"/>
        </w:rPr>
        <w:lastRenderedPageBreak/>
        <w:t>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w:t>
      </w:r>
      <w:r w:rsidRPr="005C49A7">
        <w:rPr>
          <w:rFonts w:ascii="Times New Roman" w:hAnsi="Times New Roman" w:cs="Times New Roman"/>
          <w:spacing w:val="2"/>
          <w:sz w:val="28"/>
          <w:szCs w:val="28"/>
        </w:rPr>
        <w:lastRenderedPageBreak/>
        <w:t xml:space="preserve">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 xml:space="preserve">цией, формой, ритмом, линией, </w:t>
      </w:r>
      <w:r w:rsidRPr="005C49A7">
        <w:rPr>
          <w:rFonts w:ascii="Times New Roman" w:hAnsi="Times New Roman" w:cs="Times New Roman"/>
          <w:sz w:val="28"/>
          <w:szCs w:val="28"/>
        </w:rPr>
        <w:lastRenderedPageBreak/>
        <w:t>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lastRenderedPageBreak/>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 xml:space="preserve">ных стран мира. Многообразие этнокультурных, исторически сложившихся традиций. </w:t>
      </w:r>
      <w:r w:rsidRPr="005C49A7">
        <w:rPr>
          <w:rFonts w:ascii="Times New Roman" w:hAnsi="Times New Roman" w:cs="Times New Roman"/>
          <w:sz w:val="28"/>
          <w:szCs w:val="28"/>
        </w:rPr>
        <w:lastRenderedPageBreak/>
        <w:t>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5C49A7">
        <w:rPr>
          <w:rFonts w:ascii="Times New Roman" w:hAnsi="Times New Roman" w:cs="Times New Roman"/>
          <w:sz w:val="28"/>
          <w:szCs w:val="28"/>
        </w:rPr>
        <w:lastRenderedPageBreak/>
        <w:t>(цифровыми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lastRenderedPageBreak/>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lastRenderedPageBreak/>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lastRenderedPageBreak/>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lastRenderedPageBreak/>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5C49A7">
        <w:rPr>
          <w:rStyle w:val="c12"/>
          <w:rFonts w:ascii="Times New Roman" w:hAnsi="Times New Roman" w:cs="Times New Roman"/>
          <w:sz w:val="28"/>
          <w:szCs w:val="28"/>
        </w:rPr>
        <w:lastRenderedPageBreak/>
        <w:t>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xml:space="preserve">: выполнение команд «Становись!», «Равняйсь!», «Смирно!», «Вольно!», «Шагом марш!», «Класс стой!» с </w:t>
      </w:r>
      <w:r w:rsidRPr="005C49A7">
        <w:rPr>
          <w:rStyle w:val="c12"/>
          <w:sz w:val="28"/>
          <w:szCs w:val="28"/>
        </w:rPr>
        <w:lastRenderedPageBreak/>
        <w:t>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lastRenderedPageBreak/>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lastRenderedPageBreak/>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lastRenderedPageBreak/>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w:t>
      </w:r>
      <w:r w:rsidRPr="005C49A7">
        <w:rPr>
          <w:rFonts w:ascii="Times New Roman" w:hAnsi="Times New Roman" w:cs="Times New Roman"/>
          <w:color w:val="auto"/>
          <w:sz w:val="28"/>
          <w:szCs w:val="28"/>
        </w:rPr>
        <w:lastRenderedPageBreak/>
        <w:t xml:space="preserve">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w:t>
      </w:r>
      <w:r w:rsidRPr="005C49A7">
        <w:rPr>
          <w:rFonts w:ascii="Times New Roman" w:hAnsi="Times New Roman" w:cs="Times New Roman"/>
          <w:color w:val="auto"/>
          <w:sz w:val="28"/>
          <w:szCs w:val="28"/>
        </w:rPr>
        <w:lastRenderedPageBreak/>
        <w:t xml:space="preserve">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w:t>
      </w:r>
      <w:r w:rsidRPr="005C49A7">
        <w:rPr>
          <w:rFonts w:ascii="Times New Roman" w:hAnsi="Times New Roman" w:cs="Times New Roman"/>
          <w:kern w:val="2"/>
          <w:sz w:val="28"/>
          <w:szCs w:val="28"/>
        </w:rPr>
        <w:lastRenderedPageBreak/>
        <w:t xml:space="preserve">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w:t>
      </w:r>
      <w:r w:rsidRPr="005C49A7">
        <w:rPr>
          <w:rFonts w:ascii="Times New Roman" w:hAnsi="Times New Roman" w:cs="Times New Roman"/>
          <w:spacing w:val="-4"/>
          <w:sz w:val="28"/>
          <w:szCs w:val="28"/>
        </w:rPr>
        <w:lastRenderedPageBreak/>
        <w:t>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lastRenderedPageBreak/>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lastRenderedPageBreak/>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w:t>
      </w:r>
      <w:r w:rsidRPr="00F2293E">
        <w:rPr>
          <w:rFonts w:ascii="Times New Roman" w:hAnsi="Times New Roman" w:cs="Times New Roman"/>
          <w:sz w:val="28"/>
          <w:szCs w:val="28"/>
        </w:rPr>
        <w:lastRenderedPageBreak/>
        <w:t xml:space="preserve">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w:t>
      </w:r>
      <w:r w:rsidRPr="001602EA">
        <w:rPr>
          <w:rFonts w:ascii="Times New Roman" w:hAnsi="Times New Roman" w:cs="Times New Roman"/>
        </w:rPr>
        <w:lastRenderedPageBreak/>
        <w:t xml:space="preserve">«Музыкально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w:t>
      </w:r>
      <w:r w:rsidRPr="005C49A7">
        <w:rPr>
          <w:sz w:val="28"/>
          <w:szCs w:val="28"/>
        </w:rPr>
        <w:lastRenderedPageBreak/>
        <w:t xml:space="preserve">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w:t>
      </w:r>
      <w:r w:rsidRPr="005C49A7">
        <w:rPr>
          <w:rFonts w:ascii="Times New Roman" w:hAnsi="Times New Roman" w:cs="Times New Roman"/>
          <w:color w:val="auto"/>
          <w:sz w:val="28"/>
          <w:szCs w:val="28"/>
        </w:rPr>
        <w:lastRenderedPageBreak/>
        <w:t>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50A" w:rsidRDefault="00DE650A">
      <w:pPr>
        <w:spacing w:after="0" w:line="240" w:lineRule="auto"/>
      </w:pPr>
      <w:r>
        <w:separator/>
      </w:r>
    </w:p>
  </w:endnote>
  <w:endnote w:type="continuationSeparator" w:id="0">
    <w:p w:rsidR="00DE650A" w:rsidRDefault="00D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8F" w:rsidRDefault="00CE1EE7">
    <w:pPr>
      <w:pStyle w:val="ab"/>
      <w:jc w:val="center"/>
    </w:pPr>
    <w:r>
      <w:fldChar w:fldCharType="begin"/>
    </w:r>
    <w:r>
      <w:instrText xml:space="preserve"> PAGE   \* MERGEFORMAT </w:instrText>
    </w:r>
    <w:r>
      <w:fldChar w:fldCharType="separate"/>
    </w:r>
    <w:r w:rsidR="00D02CE3">
      <w:rPr>
        <w:noProof/>
      </w:rPr>
      <w:t>132</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50A" w:rsidRDefault="00DE650A">
      <w:pPr>
        <w:spacing w:after="0" w:line="240" w:lineRule="auto"/>
      </w:pPr>
      <w:r>
        <w:separator/>
      </w:r>
    </w:p>
  </w:footnote>
  <w:footnote w:type="continuationSeparator" w:id="0">
    <w:p w:rsidR="00DE650A" w:rsidRDefault="00DE650A">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B3545"/>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063D"/>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0B67"/>
    <w:rsid w:val="00C973E2"/>
    <w:rsid w:val="00CA1D9C"/>
    <w:rsid w:val="00CA459D"/>
    <w:rsid w:val="00CB43C9"/>
    <w:rsid w:val="00CB6AC8"/>
    <w:rsid w:val="00CC3957"/>
    <w:rsid w:val="00CD3D20"/>
    <w:rsid w:val="00CD3FE3"/>
    <w:rsid w:val="00CD6264"/>
    <w:rsid w:val="00CD7F08"/>
    <w:rsid w:val="00CE1EE7"/>
    <w:rsid w:val="00CE24B9"/>
    <w:rsid w:val="00CE4221"/>
    <w:rsid w:val="00CF06F2"/>
    <w:rsid w:val="00CF4E6D"/>
    <w:rsid w:val="00CF5124"/>
    <w:rsid w:val="00CF76CB"/>
    <w:rsid w:val="00D027C6"/>
    <w:rsid w:val="00D02CE3"/>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E650A"/>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110108</Words>
  <Characters>627621</Characters>
  <Application>Microsoft Office Word</Application>
  <DocSecurity>0</DocSecurity>
  <Lines>5230</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736257</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Admin</cp:lastModifiedBy>
  <cp:revision>3</cp:revision>
  <dcterms:created xsi:type="dcterms:W3CDTF">2024-09-06T11:20:00Z</dcterms:created>
  <dcterms:modified xsi:type="dcterms:W3CDTF">2024-09-06T11:59:00Z</dcterms:modified>
</cp:coreProperties>
</file>